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241"/>
        <w:tblW w:w="5000" w:type="pct"/>
        <w:tblCellMar>
          <w:left w:w="0" w:type="dxa"/>
          <w:right w:w="0" w:type="dxa"/>
        </w:tblCellMar>
        <w:tblLook w:val="04A0"/>
      </w:tblPr>
      <w:tblGrid>
        <w:gridCol w:w="2400"/>
        <w:gridCol w:w="6960"/>
      </w:tblGrid>
      <w:tr w:rsidR="003E7DE5" w:rsidRPr="003E7DE5" w:rsidTr="003E7DE5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7DE5" w:rsidRPr="003E7DE5" w:rsidRDefault="003E7DE5" w:rsidP="003E7D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3E7DE5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960"/>
            </w:tblGrid>
            <w:tr w:rsidR="003E7DE5" w:rsidRPr="003E7DE5" w:rsidTr="006174A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7DE5" w:rsidRPr="003E7DE5" w:rsidRDefault="003E7DE5" w:rsidP="003E7DE5">
                  <w:pPr>
                    <w:framePr w:hSpace="180" w:wrap="around" w:vAnchor="text" w:hAnchor="text" w:y="241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3E7DE5" w:rsidRPr="003E7DE5" w:rsidRDefault="003E7DE5" w:rsidP="003E7DE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3E7DE5" w:rsidRPr="003E7DE5" w:rsidRDefault="003E7DE5" w:rsidP="003E7DE5">
      <w:pPr>
        <w:spacing w:before="75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 w:rsidRPr="003E7DE5">
        <w:rPr>
          <w:rFonts w:ascii="Arial" w:eastAsia="Times New Roman" w:hAnsi="Arial" w:cs="Arial"/>
          <w:b/>
          <w:bCs/>
          <w:color w:val="606060"/>
          <w:sz w:val="36"/>
          <w:szCs w:val="36"/>
        </w:rPr>
        <w:t>Letërsia</w:t>
      </w:r>
      <w:proofErr w:type="spellEnd"/>
      <w:r w:rsidRPr="003E7DE5">
        <w:rPr>
          <w:rFonts w:ascii="Arial" w:eastAsia="Times New Roman" w:hAnsi="Arial" w:cs="Arial"/>
          <w:b/>
          <w:bCs/>
          <w:color w:val="606060"/>
          <w:sz w:val="36"/>
          <w:szCs w:val="36"/>
        </w:rPr>
        <w:t xml:space="preserve"> e </w:t>
      </w:r>
      <w:proofErr w:type="spellStart"/>
      <w:r w:rsidRPr="003E7DE5">
        <w:rPr>
          <w:rFonts w:ascii="Arial" w:eastAsia="Times New Roman" w:hAnsi="Arial" w:cs="Arial"/>
          <w:b/>
          <w:bCs/>
          <w:color w:val="606060"/>
          <w:sz w:val="36"/>
          <w:szCs w:val="36"/>
        </w:rPr>
        <w:t>Pavarësisë</w:t>
      </w:r>
      <w:proofErr w:type="spellEnd"/>
    </w:p>
    <w:tbl>
      <w:tblPr>
        <w:tblpPr w:leftFromText="45" w:rightFromText="45" w:vertAnchor="text" w:horzAnchor="margin" w:tblpY="1"/>
        <w:tblOverlap w:val="never"/>
        <w:tblW w:w="3532" w:type="pct"/>
        <w:tblCellMar>
          <w:left w:w="0" w:type="dxa"/>
          <w:right w:w="0" w:type="dxa"/>
        </w:tblCellMar>
        <w:tblLook w:val="04A0"/>
      </w:tblPr>
      <w:tblGrid>
        <w:gridCol w:w="6612"/>
      </w:tblGrid>
      <w:tr w:rsidR="003E7DE5" w:rsidRPr="003E7DE5" w:rsidTr="003E7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E7DE5" w:rsidRPr="003E7DE5" w:rsidRDefault="003E7DE5" w:rsidP="003E7DE5">
            <w:pPr>
              <w:spacing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3E7DE5">
              <w:rPr>
                <w:rFonts w:ascii="Times New Roman" w:eastAsia="Times New Roman" w:hAnsi="Times New Roman" w:cs="Times New Roman"/>
                <w:b/>
                <w:bCs/>
                <w:color w:val="12468A"/>
                <w:sz w:val="27"/>
                <w:szCs w:val="27"/>
              </w:rPr>
              <w:t>Hyrje</w:t>
            </w:r>
            <w:proofErr w:type="spellEnd"/>
          </w:p>
          <w:p w:rsidR="003E7DE5" w:rsidRPr="003E7DE5" w:rsidRDefault="003E7DE5" w:rsidP="003E7DE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vështrimin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shndërrimeve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kapërcyelli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shekullit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20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kohë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veçanërisht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shënueshme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1900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vdes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Naim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Frashëri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Po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Fishta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boton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shkrimet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kurse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vetëm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lind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Lasgush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Poradeci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poeti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madh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modern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shqiptar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Pra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mbarimin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shek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XIX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përmbyllet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Naimit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periudhë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Këtu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prerje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ndërmjet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Naimit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romantike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nis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brezin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1900-shit,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hyjnë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Konica,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Fishta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Çajupi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Asdreni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Noli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M.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Frashëri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joromantike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karakterizon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ideja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kombëtare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kurse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dytën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ideja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shoqërore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apo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ideja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njerëzore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dyta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periudha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pavarësisë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zotërojë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ngadalë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katër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dhjetëvjeçarët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shekullit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XX.</w:t>
            </w:r>
          </w:p>
          <w:p w:rsidR="003E7DE5" w:rsidRPr="003E7DE5" w:rsidRDefault="003E7DE5" w:rsidP="003E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vështrimin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kulturor-historik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vështrimin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strukturor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pavarësisë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nis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fund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shekullit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kaluar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Konicën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shfaqet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model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shkrimi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kritik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ndryshëm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shkrimi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mëhershëm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himnizues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zhvillohet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poezinë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Lasgush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Poradecit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kërkon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forma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reja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gjuhë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re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poetike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efektin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estetik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ndërton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thellësinë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vet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identitetin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botës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shpirtërore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>.</w:t>
            </w:r>
          </w:p>
          <w:p w:rsidR="003E7DE5" w:rsidRPr="003E7DE5" w:rsidRDefault="003E7DE5" w:rsidP="003E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Pavarësisë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periudhë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vjen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pas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periudhës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Rilindjes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kurorëzohet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Naim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Frashërit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periudhë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shkallë-shkallë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ngre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dallimet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pararendëse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forcon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karakteristikat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veta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ideore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strukturore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>.</w:t>
            </w:r>
          </w:p>
          <w:p w:rsidR="003E7DE5" w:rsidRPr="003E7DE5" w:rsidRDefault="003E7DE5" w:rsidP="003E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Përurues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nismëtar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kësaj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periudhe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Faik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Konica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Albaninë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tij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(1897-1909),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boton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autorët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1900-ës,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madje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komenton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re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revistën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tij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Kështu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Konica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bëhet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teoriku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kritiku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pakontestueshëm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kësaj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artikull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vitit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1906, "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Kohëtore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letrave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",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interpretimet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veprave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Çajupit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Asdrenit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Nolit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Gurakuqit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Konica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vëren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se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re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lirohet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nga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zotërimi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ideologjisë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kombëtare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romantizmit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artikulon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dallimin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ndërmjet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veprimit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atdhetar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krijimit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estetik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Prandaj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Pavarësisë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nismë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kërkesën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krijimit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vlerë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vete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pa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marrë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parasysh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qëllimin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anën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tjetër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edhe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qëllimi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fillon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pretendohet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arrijë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nëpërmjet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frymës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kritike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jo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frymës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himnizuese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brendapërbrenda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shoqërisë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shpirtit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kombit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>.</w:t>
            </w:r>
          </w:p>
          <w:p w:rsidR="003E7DE5" w:rsidRPr="003E7DE5" w:rsidRDefault="003E7DE5" w:rsidP="003E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E7DE5">
              <w:rPr>
                <w:rFonts w:ascii="Times New Roman" w:eastAsia="Times New Roman" w:hAnsi="Times New Roman" w:cs="Times New Roman"/>
              </w:rPr>
              <w:t xml:space="preserve">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shfaqur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qoftë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trashëgimi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simbolizmit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Asdreni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Lasgushi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qoftë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realizëm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frymë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kritike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Çajupi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Noli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qoftë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trajtë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neoklasiciste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Fishta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Mjeda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Haxhiademi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apo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trajta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papara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modernizmit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prozë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Koliqi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Migjeni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Kuteli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Pavarësisë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shqiptare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zotëron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lastRenderedPageBreak/>
              <w:t>gjysmën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shekullit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XX ka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dy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karakteristika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themelore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>:</w:t>
            </w:r>
          </w:p>
          <w:p w:rsidR="003E7DE5" w:rsidRPr="003E7DE5" w:rsidRDefault="003E7DE5" w:rsidP="003E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Krijimin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trajtave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strukturave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reja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Krijimin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vetëdijes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ndërgjegjes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letërsia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është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krijim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veçantë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estetik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pa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marrë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parasysh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qëllimet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Kjo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dëshmohet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veprat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dhe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me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interpretimin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tyre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E7DE5">
              <w:rPr>
                <w:rFonts w:ascii="Times New Roman" w:eastAsia="Times New Roman" w:hAnsi="Times New Roman" w:cs="Times New Roman"/>
              </w:rPr>
              <w:t>letrar</w:t>
            </w:r>
            <w:proofErr w:type="spellEnd"/>
            <w:r w:rsidRPr="003E7DE5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515B88" w:rsidRDefault="00515B88" w:rsidP="003E7DE5"/>
    <w:sectPr w:rsidR="00515B88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DE5"/>
    <w:rsid w:val="003E7DE5"/>
    <w:rsid w:val="0051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paragraph" w:styleId="Heading2">
    <w:name w:val="heading 2"/>
    <w:basedOn w:val="Normal"/>
    <w:link w:val="Heading2Char"/>
    <w:uiPriority w:val="9"/>
    <w:qFormat/>
    <w:rsid w:val="003E7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E7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DE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E7D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E7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7D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Company>CtrlSoft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1</cp:revision>
  <dcterms:created xsi:type="dcterms:W3CDTF">2020-03-23T12:50:00Z</dcterms:created>
  <dcterms:modified xsi:type="dcterms:W3CDTF">2020-03-23T12:51:00Z</dcterms:modified>
</cp:coreProperties>
</file>